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1005205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ind w:right="-624"/>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62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ind w:left="464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25" w:lineRule="exact"/>
        <w:rPr>
          <w:sz w:val="24"/>
          <w:szCs w:val="24"/>
          <w:color w:val="auto"/>
        </w:rPr>
      </w:pPr>
    </w:p>
    <w:p>
      <w:pPr>
        <w:ind w:left="4925"/>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95" w:lineRule="exact"/>
        <w:rPr>
          <w:sz w:val="24"/>
          <w:szCs w:val="24"/>
          <w:color w:val="auto"/>
        </w:rPr>
      </w:pPr>
    </w:p>
    <w:p>
      <w:pPr>
        <w:jc w:val="center"/>
        <w:ind w:right="-62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624"/>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624"/>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65" w:lineRule="exact"/>
        <w:rPr>
          <w:sz w:val="24"/>
          <w:szCs w:val="24"/>
          <w:color w:val="auto"/>
        </w:rPr>
      </w:pPr>
    </w:p>
    <w:p>
      <w:pPr>
        <w:ind w:left="3165"/>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59" w:lineRule="exact"/>
        <w:rPr>
          <w:sz w:val="24"/>
          <w:szCs w:val="24"/>
          <w:color w:val="auto"/>
        </w:rPr>
      </w:pPr>
    </w:p>
    <w:p>
      <w:pPr>
        <w:jc w:val="center"/>
        <w:ind w:right="-524"/>
        <w:spacing w:after="0"/>
        <w:rPr>
          <w:sz w:val="20"/>
          <w:szCs w:val="20"/>
          <w:color w:val="auto"/>
        </w:rPr>
      </w:pPr>
      <w:r>
        <w:rPr>
          <w:rFonts w:ascii="Times New Roman" w:cs="Times New Roman" w:eastAsia="Times New Roman" w:hAnsi="Times New Roman"/>
          <w:sz w:val="38"/>
          <w:szCs w:val="38"/>
          <w:b w:val="1"/>
          <w:bCs w:val="1"/>
          <w:color w:val="auto"/>
        </w:rPr>
        <w:t>ALDEYRA THERAPEUTICS, INC.</w:t>
      </w:r>
    </w:p>
    <w:p>
      <w:pPr>
        <w:spacing w:after="0" w:line="46" w:lineRule="exact"/>
        <w:rPr>
          <w:sz w:val="24"/>
          <w:szCs w:val="24"/>
          <w:color w:val="auto"/>
        </w:rPr>
      </w:pPr>
    </w:p>
    <w:p>
      <w:pPr>
        <w:ind w:left="386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0625"/>
          </w:cols>
          <w:pgMar w:left="315" w:top="1440" w:right="959" w:bottom="1440" w:gutter="0" w:footer="0" w:header="0"/>
        </w:sectPr>
      </w:pPr>
    </w:p>
    <w:p>
      <w:pPr>
        <w:spacing w:after="0" w:line="200" w:lineRule="exact"/>
        <w:rPr>
          <w:sz w:val="24"/>
          <w:szCs w:val="24"/>
          <w:color w:val="auto"/>
        </w:rPr>
      </w:pPr>
    </w:p>
    <w:p>
      <w:pPr>
        <w:spacing w:after="0" w:line="388" w:lineRule="exact"/>
        <w:rPr>
          <w:sz w:val="24"/>
          <w:szCs w:val="24"/>
          <w:color w:val="auto"/>
        </w:rPr>
      </w:pPr>
    </w:p>
    <w:p>
      <w:pPr>
        <w:ind w:left="2245"/>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001-36332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20-1968197</w:t>
      </w:r>
    </w:p>
    <w:p>
      <w:pPr>
        <w:spacing w:after="0" w:line="10" w:lineRule="exact"/>
        <w:rPr>
          <w:sz w:val="24"/>
          <w:szCs w:val="24"/>
          <w:color w:val="auto"/>
        </w:rPr>
      </w:pPr>
    </w:p>
    <w:p>
      <w:pPr>
        <w:sectPr>
          <w:pgSz w:w="11900" w:h="16838" w:orient="portrait"/>
          <w:cols w:equalWidth="0" w:num="3">
            <w:col w:w="5365" w:space="720"/>
            <w:col w:w="2320" w:space="720"/>
            <w:col w:w="1500"/>
          </w:cols>
          <w:pgMar w:left="315" w:top="1440" w:right="959" w:bottom="1440" w:gutter="0" w:footer="0" w:header="0"/>
          <w:type w:val="continuous"/>
        </w:sectPr>
      </w:pPr>
    </w:p>
    <w:p>
      <w:pPr>
        <w:spacing w:after="0" w:line="11" w:lineRule="exact"/>
        <w:rPr>
          <w:sz w:val="24"/>
          <w:szCs w:val="24"/>
          <w:color w:val="auto"/>
        </w:rPr>
      </w:pPr>
    </w:p>
    <w:p>
      <w:pPr>
        <w:jc w:val="center"/>
        <w:ind w:right="235"/>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235"/>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2"/>
          <w:szCs w:val="12"/>
          <w:b w:val="1"/>
          <w:bCs w:val="1"/>
          <w:color w:val="auto"/>
        </w:rPr>
        <w:t>(Commission</w:t>
      </w:r>
    </w:p>
    <w:p>
      <w:pPr>
        <w:jc w:val="center"/>
        <w:ind w:right="1500"/>
        <w:spacing w:after="0"/>
        <w:rPr>
          <w:sz w:val="20"/>
          <w:szCs w:val="20"/>
          <w:color w:val="auto"/>
        </w:rPr>
      </w:pPr>
      <w:r>
        <w:rPr>
          <w:rFonts w:ascii="Times New Roman" w:cs="Times New Roman" w:eastAsia="Times New Roman" w:hAnsi="Times New Roman"/>
          <w:sz w:val="13"/>
          <w:szCs w:val="13"/>
          <w:b w:val="1"/>
          <w:bCs w:val="1"/>
          <w:color w:val="auto"/>
        </w:rPr>
        <w:t>File No.)</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85" w:lineRule="exact"/>
        <w:rPr>
          <w:sz w:val="24"/>
          <w:szCs w:val="24"/>
          <w:color w:val="auto"/>
        </w:rPr>
      </w:pPr>
    </w:p>
    <w:p>
      <w:pPr>
        <w:sectPr>
          <w:pgSz w:w="11900" w:h="16838" w:orient="portrait"/>
          <w:cols w:equalWidth="0" w:num="3">
            <w:col w:w="5365" w:space="720"/>
            <w:col w:w="2200" w:space="720"/>
            <w:col w:w="1620"/>
          </w:cols>
          <w:pgMar w:left="315" w:top="1440" w:right="959" w:bottom="1440" w:gutter="0" w:footer="0" w:header="0"/>
          <w:type w:val="continuous"/>
        </w:sectPr>
      </w:pPr>
    </w:p>
    <w:p>
      <w:pPr>
        <w:jc w:val="center"/>
        <w:ind w:right="-624"/>
        <w:spacing w:after="0"/>
        <w:rPr>
          <w:sz w:val="20"/>
          <w:szCs w:val="20"/>
          <w:color w:val="auto"/>
        </w:rPr>
      </w:pPr>
      <w:r>
        <w:rPr>
          <w:rFonts w:ascii="Times New Roman" w:cs="Times New Roman" w:eastAsia="Times New Roman" w:hAnsi="Times New Roman"/>
          <w:sz w:val="16"/>
          <w:szCs w:val="16"/>
          <w:b w:val="1"/>
          <w:bCs w:val="1"/>
          <w:color w:val="auto"/>
        </w:rPr>
        <w:t>131 Hartwell Avenue, Suite 320</w:t>
      </w:r>
    </w:p>
    <w:p>
      <w:pPr>
        <w:spacing w:after="0" w:line="23" w:lineRule="exact"/>
        <w:rPr>
          <w:sz w:val="24"/>
          <w:szCs w:val="24"/>
          <w:color w:val="auto"/>
        </w:rPr>
      </w:pPr>
    </w:p>
    <w:p>
      <w:pPr>
        <w:jc w:val="center"/>
        <w:ind w:right="-624"/>
        <w:spacing w:after="0"/>
        <w:rPr>
          <w:sz w:val="20"/>
          <w:szCs w:val="20"/>
          <w:color w:val="auto"/>
        </w:rPr>
      </w:pPr>
      <w:r>
        <w:rPr>
          <w:rFonts w:ascii="Times New Roman" w:cs="Times New Roman" w:eastAsia="Times New Roman" w:hAnsi="Times New Roman"/>
          <w:sz w:val="16"/>
          <w:szCs w:val="16"/>
          <w:b w:val="1"/>
          <w:bCs w:val="1"/>
          <w:color w:val="auto"/>
        </w:rPr>
        <w:t>Lexington, MA 02421</w:t>
      </w:r>
    </w:p>
    <w:p>
      <w:pPr>
        <w:ind w:left="4225"/>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p>
      <w:pPr>
        <w:sectPr>
          <w:pgSz w:w="11900" w:h="16838" w:orient="portrait"/>
          <w:cols w:equalWidth="0" w:num="1">
            <w:col w:w="10625"/>
          </w:cols>
          <w:pgMar w:left="315" w:top="1440" w:right="959" w:bottom="1440" w:gutter="0" w:footer="0" w:header="0"/>
          <w:type w:val="continuous"/>
        </w:sectPr>
      </w:pPr>
    </w:p>
    <w:p>
      <w:pPr>
        <w:spacing w:after="0" w:line="74" w:lineRule="exact"/>
        <w:rPr>
          <w:sz w:val="24"/>
          <w:szCs w:val="24"/>
          <w:color w:val="auto"/>
        </w:rPr>
      </w:pPr>
    </w:p>
    <w:p>
      <w:pPr>
        <w:jc w:val="center"/>
        <w:ind w:right="-62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761-4904</w:t>
      </w:r>
    </w:p>
    <w:p>
      <w:pPr>
        <w:spacing w:after="0" w:line="100" w:lineRule="exact"/>
        <w:rPr>
          <w:sz w:val="24"/>
          <w:szCs w:val="24"/>
          <w:color w:val="auto"/>
        </w:rPr>
      </w:pPr>
    </w:p>
    <w:p>
      <w:pPr>
        <w:jc w:val="center"/>
        <w:ind w:right="-62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ind w:left="3845"/>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4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245" w:hanging="245"/>
        <w:spacing w:after="0"/>
        <w:tabs>
          <w:tab w:leader="none" w:pos="24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5" w:right="3340" w:hanging="5"/>
        <w:spacing w:after="0" w:line="399" w:lineRule="auto"/>
        <w:tabs>
          <w:tab w:leader="none" w:pos="24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758190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625"/>
          </w:cols>
          <w:pgMar w:left="315" w:top="1440" w:right="9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5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4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40" w:type="dxa"/>
            <w:vAlign w:val="bottom"/>
          </w:tcPr>
          <w:p>
            <w:pPr>
              <w:spacing w:after="0"/>
              <w:rPr>
                <w:sz w:val="12"/>
                <w:szCs w:val="12"/>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7"/>
        </w:trPr>
        <w:tc>
          <w:tcPr>
            <w:tcW w:w="58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4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206"/>
        </w:trPr>
        <w:tc>
          <w:tcPr>
            <w:tcW w:w="5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ALDX</w:t>
            </w:r>
          </w:p>
        </w:tc>
        <w:tc>
          <w:tcPr>
            <w:tcW w:w="4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4" w:lineRule="exact"/>
        <w:rPr>
          <w:sz w:val="20"/>
          <w:szCs w:val="20"/>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1174115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375285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1364"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1185545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On May 1, 2026, Aldeyra Therapeutics, Inc. (“Aldeyra” or the “Company”) released an updated corporate overview presentation (the “Corporate Overview”) which, among other things, disclosed (i) standardized treatment estimates and confidence intervals for the primary endpoints of all proposed commercial dosing regimen efficacy clinical trials of reproxalap submitted to the New Drug Application for the treatment of dry eye disease and (ii) Aldeyra’s abbreviated interpretations of the U.S. Food &amp; Drug Administration positions on the primary endpoints for the reproxalap clinical trials, as well as the Aldeyra positions on the primary endpoints.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Corporate Overview is furnished herewith as Exhibit 99.1 to this Current Report on Form 8-K and is incorporated by reference herein.</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5920" w:type="dxa"/>
            <w:vAlign w:val="bottom"/>
          </w:tcPr>
          <w:p>
            <w:pPr>
              <w:ind w:left="88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5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0"/>
        </w:trPr>
        <w:tc>
          <w:tcPr>
            <w:tcW w:w="1620" w:type="dxa"/>
            <w:vAlign w:val="bottom"/>
          </w:tcPr>
          <w:p>
            <w:pPr>
              <w:spacing w:after="0"/>
              <w:rPr>
                <w:sz w:val="24"/>
                <w:szCs w:val="24"/>
                <w:color w:val="auto"/>
              </w:rPr>
            </w:pPr>
          </w:p>
        </w:tc>
        <w:tc>
          <w:tcPr>
            <w:tcW w:w="5920" w:type="dxa"/>
            <w:vAlign w:val="bottom"/>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1620" w:type="dxa"/>
            <w:vAlign w:val="bottom"/>
          </w:tcPr>
          <w:p>
            <w:pPr>
              <w:spacing w:after="0"/>
              <w:rPr>
                <w:sz w:val="15"/>
                <w:szCs w:val="15"/>
                <w:color w:val="auto"/>
              </w:rPr>
            </w:pPr>
          </w:p>
        </w:tc>
        <w:tc>
          <w:tcPr>
            <w:tcW w:w="5920" w:type="dxa"/>
            <w:vAlign w:val="bottom"/>
          </w:tcPr>
          <w:p>
            <w:pPr>
              <w:jc w:val="center"/>
              <w:ind w:left="672"/>
              <w:spacing w:after="0"/>
              <w:rPr>
                <w:sz w:val="20"/>
                <w:szCs w:val="20"/>
                <w:color w:val="auto"/>
              </w:rPr>
            </w:pPr>
            <w:r>
              <w:rPr>
                <w:rFonts w:ascii="Times New Roman" w:cs="Times New Roman" w:eastAsia="Times New Roman" w:hAnsi="Times New Roman"/>
                <w:sz w:val="13"/>
                <w:szCs w:val="13"/>
                <w:b w:val="1"/>
                <w:bCs w:val="1"/>
                <w:color w:val="auto"/>
                <w:w w:val="93"/>
              </w:rPr>
              <w:t>No.</w:t>
            </w:r>
          </w:p>
        </w:tc>
        <w:tc>
          <w:tcPr>
            <w:tcW w:w="3720" w:type="dxa"/>
            <w:vAlign w:val="bottom"/>
            <w:gridSpan w:val="5"/>
          </w:tcPr>
          <w:p>
            <w:pPr>
              <w:ind w:left="23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32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5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FF"/>
              </w:rPr>
              <w:t>Aldeyra</w:t>
            </w:r>
          </w:p>
        </w:tc>
        <w:tc>
          <w:tcPr>
            <w:tcW w:w="780" w:type="dxa"/>
            <w:vAlign w:val="bottom"/>
            <w:gridSpan w:val="3"/>
          </w:tcPr>
          <w:p>
            <w:pPr>
              <w:spacing w:after="0"/>
              <w:rPr>
                <w:sz w:val="24"/>
                <w:szCs w:val="24"/>
                <w:color w:val="auto"/>
              </w:rPr>
            </w:pPr>
          </w:p>
        </w:tc>
      </w:tr>
      <w:tr>
        <w:trPr>
          <w:trHeight w:val="169"/>
        </w:trPr>
        <w:tc>
          <w:tcPr>
            <w:tcW w:w="16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8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6"/>
                <w:szCs w:val="16"/>
                <w:color w:val="0000FF"/>
              </w:rPr>
              <w:t>Therapeutics, Inc.</w:t>
            </w:r>
          </w:p>
        </w:tc>
        <w:tc>
          <w:tcPr>
            <w:tcW w:w="160" w:type="dxa"/>
            <w:vAlign w:val="bottom"/>
            <w:gridSpan w:val="2"/>
          </w:tcPr>
          <w:p>
            <w:pPr>
              <w:spacing w:after="0"/>
              <w:rPr>
                <w:sz w:val="14"/>
                <w:szCs w:val="14"/>
                <w:color w:val="auto"/>
              </w:rPr>
            </w:pPr>
          </w:p>
        </w:tc>
      </w:tr>
      <w:tr>
        <w:trPr>
          <w:trHeight w:val="169"/>
        </w:trPr>
        <w:tc>
          <w:tcPr>
            <w:tcW w:w="16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40" w:type="dxa"/>
            <w:vAlign w:val="bottom"/>
            <w:tcBorders>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Corporate Overview</w:t>
            </w:r>
          </w:p>
        </w:tc>
      </w:tr>
      <w:tr>
        <w:trPr>
          <w:trHeight w:val="169"/>
        </w:trPr>
        <w:tc>
          <w:tcPr>
            <w:tcW w:w="16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tcBorders>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dated May 1, 2026</w:t>
            </w:r>
          </w:p>
        </w:tc>
        <w:tc>
          <w:tcPr>
            <w:tcW w:w="100" w:type="dxa"/>
            <w:vAlign w:val="bottom"/>
          </w:tcPr>
          <w:p>
            <w:pPr>
              <w:spacing w:after="0"/>
              <w:rPr>
                <w:sz w:val="14"/>
                <w:szCs w:val="1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5920" w:type="dxa"/>
            <w:vAlign w:val="bottom"/>
          </w:tcPr>
          <w:p>
            <w:pPr>
              <w:spacing w:after="0"/>
              <w:rPr>
                <w:sz w:val="24"/>
                <w:szCs w:val="24"/>
                <w:color w:val="auto"/>
              </w:rPr>
            </w:pPr>
          </w:p>
        </w:tc>
        <w:tc>
          <w:tcPr>
            <w:tcW w:w="3720" w:type="dxa"/>
            <w:vAlign w:val="bottom"/>
            <w:gridSpan w:val="5"/>
          </w:tcPr>
          <w:p>
            <w:pPr>
              <w:ind w:left="2380"/>
              <w:spacing w:after="0"/>
              <w:rPr>
                <w:sz w:val="20"/>
                <w:szCs w:val="20"/>
                <w:color w:val="auto"/>
              </w:rPr>
            </w:pPr>
            <w:r>
              <w:rPr>
                <w:rFonts w:ascii="Times New Roman" w:cs="Times New Roman" w:eastAsia="Times New Roman" w:hAnsi="Times New Roman"/>
                <w:sz w:val="16"/>
                <w:szCs w:val="16"/>
                <w:color w:val="auto"/>
              </w:rPr>
              <w:t>Cover Page</w:t>
            </w:r>
          </w:p>
        </w:tc>
      </w:tr>
      <w:tr>
        <w:trPr>
          <w:trHeight w:val="189"/>
        </w:trPr>
        <w:tc>
          <w:tcPr>
            <w:tcW w:w="16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720" w:type="dxa"/>
            <w:vAlign w:val="bottom"/>
            <w:gridSpan w:val="5"/>
          </w:tcPr>
          <w:p>
            <w:pPr>
              <w:ind w:left="2380"/>
              <w:spacing w:after="0"/>
              <w:rPr>
                <w:sz w:val="20"/>
                <w:szCs w:val="20"/>
                <w:color w:val="auto"/>
              </w:rPr>
            </w:pPr>
            <w:r>
              <w:rPr>
                <w:rFonts w:ascii="Times New Roman" w:cs="Times New Roman" w:eastAsia="Times New Roman" w:hAnsi="Times New Roman"/>
                <w:sz w:val="16"/>
                <w:szCs w:val="16"/>
                <w:color w:val="auto"/>
              </w:rPr>
              <w:t>Interactive Data File</w:t>
            </w:r>
          </w:p>
        </w:tc>
      </w:tr>
      <w:tr>
        <w:trPr>
          <w:trHeight w:val="189"/>
        </w:trPr>
        <w:tc>
          <w:tcPr>
            <w:tcW w:w="16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720" w:type="dxa"/>
            <w:vAlign w:val="bottom"/>
            <w:gridSpan w:val="5"/>
          </w:tcPr>
          <w:p>
            <w:pPr>
              <w:ind w:left="2380"/>
              <w:spacing w:after="0"/>
              <w:rPr>
                <w:sz w:val="20"/>
                <w:szCs w:val="20"/>
                <w:color w:val="auto"/>
              </w:rPr>
            </w:pPr>
            <w:r>
              <w:rPr>
                <w:rFonts w:ascii="Times New Roman" w:cs="Times New Roman" w:eastAsia="Times New Roman" w:hAnsi="Times New Roman"/>
                <w:sz w:val="16"/>
                <w:szCs w:val="16"/>
                <w:color w:val="auto"/>
              </w:rPr>
              <w:t>(embedded within</w:t>
            </w:r>
          </w:p>
        </w:tc>
      </w:tr>
      <w:tr>
        <w:trPr>
          <w:trHeight w:val="189"/>
        </w:trPr>
        <w:tc>
          <w:tcPr>
            <w:tcW w:w="16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720" w:type="dxa"/>
            <w:vAlign w:val="bottom"/>
            <w:gridSpan w:val="5"/>
          </w:tcPr>
          <w:p>
            <w:pPr>
              <w:ind w:left="2380"/>
              <w:spacing w:after="0"/>
              <w:rPr>
                <w:sz w:val="20"/>
                <w:szCs w:val="20"/>
                <w:color w:val="auto"/>
              </w:rPr>
            </w:pPr>
            <w:r>
              <w:rPr>
                <w:rFonts w:ascii="Times New Roman" w:cs="Times New Roman" w:eastAsia="Times New Roman" w:hAnsi="Times New Roman"/>
                <w:sz w:val="16"/>
                <w:szCs w:val="16"/>
                <w:color w:val="auto"/>
              </w:rPr>
              <w:t>the Inline XBRL</w:t>
            </w:r>
          </w:p>
        </w:tc>
      </w:tr>
      <w:tr>
        <w:trPr>
          <w:trHeight w:val="206"/>
        </w:trPr>
        <w:tc>
          <w:tcPr>
            <w:tcW w:w="16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720" w:type="dxa"/>
            <w:vAlign w:val="bottom"/>
            <w:gridSpan w:val="5"/>
          </w:tcPr>
          <w:p>
            <w:pPr>
              <w:ind w:left="2380"/>
              <w:spacing w:after="0"/>
              <w:rPr>
                <w:sz w:val="20"/>
                <w:szCs w:val="20"/>
                <w:color w:val="auto"/>
              </w:rPr>
            </w:pPr>
            <w:r>
              <w:rPr>
                <w:rFonts w:ascii="Times New Roman" w:cs="Times New Roman" w:eastAsia="Times New Roman" w:hAnsi="Times New Roman"/>
                <w:sz w:val="16"/>
                <w:szCs w:val="16"/>
                <w:color w:val="auto"/>
              </w:rPr>
              <w:t>document)</w:t>
            </w:r>
          </w:p>
        </w:tc>
      </w:tr>
      <w:tr>
        <w:trPr>
          <w:trHeight w:val="1422"/>
        </w:trPr>
        <w:tc>
          <w:tcPr>
            <w:tcW w:w="162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1185545</wp:posOffset>
            </wp:positionV>
            <wp:extent cx="71494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ALDEYRA THERAPEUTICS, INC.</w:t>
            </w:r>
          </w:p>
        </w:tc>
        <w:tc>
          <w:tcPr>
            <w:tcW w:w="4320" w:type="dxa"/>
            <w:vAlign w:val="bottom"/>
          </w:tcPr>
          <w:p>
            <w:pPr>
              <w:spacing w:after="0"/>
              <w:rPr>
                <w:sz w:val="17"/>
                <w:szCs w:val="17"/>
                <w:color w:val="auto"/>
              </w:rPr>
            </w:pPr>
          </w:p>
        </w:tc>
      </w:tr>
      <w:tr>
        <w:trPr>
          <w:trHeight w:val="378"/>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Todd C. Brady</w:t>
            </w:r>
          </w:p>
        </w:tc>
      </w:tr>
      <w:tr>
        <w:trPr>
          <w:trHeight w:val="176"/>
        </w:trPr>
        <w:tc>
          <w:tcPr>
            <w:tcW w:w="69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432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Todd C. Brady, M.D., Ph.D.</w:t>
            </w:r>
          </w:p>
        </w:tc>
      </w:tr>
      <w:tr>
        <w:trPr>
          <w:trHeight w:val="206"/>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78"/>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Dated May 1, 2026</w:t>
            </w:r>
          </w:p>
        </w:tc>
        <w:tc>
          <w:tcPr>
            <w:tcW w:w="4320" w:type="dxa"/>
            <w:vAlign w:val="bottom"/>
          </w:tcPr>
          <w:p>
            <w:pPr>
              <w:spacing w:after="0"/>
              <w:rPr>
                <w:sz w:val="24"/>
                <w:szCs w:val="24"/>
                <w:color w:val="auto"/>
              </w:rPr>
            </w:pPr>
          </w:p>
        </w:tc>
      </w:tr>
      <w:tr>
        <w:trPr>
          <w:trHeight w:val="1233"/>
        </w:trPr>
        <w:tc>
          <w:tcPr>
            <w:tcW w:w="69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2026-05-01T11:00:08Z</dcterms:created>
  <dcterms:modified xsi:type="dcterms:W3CDTF">2026-05-01T11:00:08Z</dcterms:modified>
</cp:coreProperties>
</file>