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aldx-20260609.htm"/>
      <w:bookmarkStart w:id="1" w:name="ksaldx20260609"/>
      <w:bookmarkEnd w:id="0"/>
      <w:bookmarkEnd w:id="1"/>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FORM 8-K</w:t>
      </w:r>
    </w:p>
    <w:p>
      <w:pPr>
        <w:pStyle w:val="TextBody"/>
        <w:bidi w:val="0"/>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June 9, 2026</w:t>
      </w:r>
    </w:p>
    <w:p>
      <w:pPr>
        <w:pStyle w:val="TextBody"/>
        <w:bidi w:val="0"/>
        <w:jc w:val="center"/>
        <w:rPr>
          <w:rFonts w:ascii="Times New Roman" w:hAnsi="Times New Roman"/>
          <w:b/>
          <w:color w:val="000000"/>
          <w:sz w:val="20"/>
        </w:rPr>
      </w:pPr>
      <w:r>
        <w:rPr>
          <w:rFonts w:ascii="Times New Roman" w:hAnsi="Times New Roman"/>
          <w:b/>
          <w:color w:val="000000"/>
          <w:sz w:val="20"/>
        </w:rPr>
        <w:t>ALDEYRA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6281" w:type="dxa"/>
        <w:jc w:val="left"/>
        <w:tblInd w:w="0" w:type="dxa"/>
        <w:tblLayout w:type="fixed"/>
        <w:tblCellMar>
          <w:top w:w="28" w:type="dxa"/>
          <w:left w:w="28" w:type="dxa"/>
          <w:bottom w:w="28" w:type="dxa"/>
          <w:right w:w="28" w:type="dxa"/>
        </w:tblCellMar>
      </w:tblPr>
      <w:tblGrid>
        <w:gridCol w:w="2401"/>
        <w:gridCol w:w="109"/>
        <w:gridCol w:w="1981"/>
        <w:gridCol w:w="109"/>
        <w:gridCol w:w="1681"/>
      </w:tblGrid>
      <w:tr>
        <w:trPr/>
        <w:tc>
          <w:tcPr>
            <w:tcW w:w="2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40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8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001-36332</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81"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20-1968197</w:t>
            </w:r>
          </w:p>
        </w:tc>
      </w:tr>
      <w:tr>
        <w:trPr/>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(State or other jurisdiction </w:t>
              <w:b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(IRS Employer</w:t>
              <w:br/>
              <w:t>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131 Hartwell Avenue, Suite 320</w:t>
      </w:r>
    </w:p>
    <w:p>
      <w:pPr>
        <w:pStyle w:val="TextBody"/>
        <w:bidi w:val="0"/>
        <w:jc w:val="center"/>
        <w:rPr>
          <w:rFonts w:ascii="Times New Roman" w:hAnsi="Times New Roman"/>
          <w:sz w:val="20"/>
        </w:rPr>
      </w:pPr>
      <w:r>
        <w:rPr>
          <w:rFonts w:ascii="Times New Roman" w:hAnsi="Times New Roman"/>
          <w:b/>
          <w:color w:val="000000"/>
          <w:sz w:val="20"/>
        </w:rPr>
        <w:t>Lexington, MA</w:t>
      </w:r>
      <w:r>
        <w:rPr>
          <w:rFonts w:ascii="Times New Roman" w:hAnsi="Times New Roman"/>
          <w:color w:val="000000"/>
          <w:sz w:val="20"/>
        </w:rPr>
        <w:t xml:space="preserve"> </w:t>
      </w:r>
      <w:r>
        <w:rPr>
          <w:rFonts w:ascii="Times New Roman" w:hAnsi="Times New Roman"/>
          <w:b/>
          <w:color w:val="000000"/>
          <w:sz w:val="20"/>
        </w:rPr>
        <w:t>02421</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offices and zip code)</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(781) 761-4904</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20"/>
        </w:rPr>
      </w:pPr>
      <w:r>
        <w:rPr>
          <w:rFonts w:ascii="Times New Roman" w:hAnsi="Times New Roman"/>
          <w:b/>
          <w:color w:val="000000"/>
          <w:sz w:val="20"/>
        </w:rPr>
        <w:t>(Former Name or Former Address, if Changed Since Last Report)</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851" w:type="dxa"/>
        <w:jc w:val="left"/>
        <w:tblInd w:w="0" w:type="dxa"/>
        <w:tblLayout w:type="fixed"/>
        <w:tblCellMar>
          <w:top w:w="28" w:type="dxa"/>
          <w:left w:w="28" w:type="dxa"/>
          <w:bottom w:w="28" w:type="dxa"/>
          <w:right w:w="28" w:type="dxa"/>
        </w:tblCellMar>
      </w:tblPr>
      <w:tblGrid>
        <w:gridCol w:w="124"/>
        <w:gridCol w:w="31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881" w:type="dxa"/>
        <w:jc w:val="left"/>
        <w:tblInd w:w="0" w:type="dxa"/>
        <w:tblLayout w:type="fixed"/>
        <w:tblCellMar>
          <w:top w:w="28" w:type="dxa"/>
          <w:left w:w="28" w:type="dxa"/>
          <w:bottom w:w="28" w:type="dxa"/>
          <w:right w:w="28" w:type="dxa"/>
        </w:tblCellMar>
      </w:tblPr>
      <w:tblGrid>
        <w:gridCol w:w="124"/>
        <w:gridCol w:w="31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621" w:type="dxa"/>
        <w:jc w:val="left"/>
        <w:tblInd w:w="0" w:type="dxa"/>
        <w:tblLayout w:type="fixed"/>
        <w:tblCellMar>
          <w:top w:w="28" w:type="dxa"/>
          <w:left w:w="28" w:type="dxa"/>
          <w:bottom w:w="28" w:type="dxa"/>
          <w:right w:w="28" w:type="dxa"/>
        </w:tblCellMar>
      </w:tblPr>
      <w:tblGrid>
        <w:gridCol w:w="124"/>
        <w:gridCol w:w="31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561" w:type="dxa"/>
        <w:jc w:val="left"/>
        <w:tblInd w:w="0" w:type="dxa"/>
        <w:tblLayout w:type="fixed"/>
        <w:tblCellMar>
          <w:top w:w="28" w:type="dxa"/>
          <w:left w:w="28" w:type="dxa"/>
          <w:bottom w:w="28" w:type="dxa"/>
          <w:right w:w="28" w:type="dxa"/>
        </w:tblCellMar>
      </w:tblPr>
      <w:tblGrid>
        <w:gridCol w:w="124"/>
        <w:gridCol w:w="31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9506" w:type="dxa"/>
        <w:jc w:val="left"/>
        <w:tblInd w:w="0" w:type="dxa"/>
        <w:tblLayout w:type="fixed"/>
        <w:tblCellMar>
          <w:top w:w="28" w:type="dxa"/>
          <w:left w:w="28" w:type="dxa"/>
          <w:bottom w:w="28" w:type="dxa"/>
          <w:right w:w="28" w:type="dxa"/>
        </w:tblCellMar>
      </w:tblPr>
      <w:tblGrid>
        <w:gridCol w:w="3766"/>
        <w:gridCol w:w="109"/>
        <w:gridCol w:w="1696"/>
        <w:gridCol w:w="109"/>
        <w:gridCol w:w="3826"/>
      </w:tblGrid>
      <w:tr>
        <w:trPr/>
        <w:tc>
          <w:tcPr>
            <w:tcW w:w="3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$0.001 par value per share</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ALDX</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9"/>
        <w:gridCol w:w="9376"/>
      </w:tblGrid>
      <w:tr>
        <w:trPr/>
        <w:tc>
          <w:tcPr>
            <w:tcW w:w="829" w:type="dxa"/>
            <w:tcBorders/>
            <w:vAlign w:val="center"/>
          </w:tcPr>
          <w:p>
            <w:pPr>
              <w:pStyle w:val="TableContents"/>
              <w:bidi w:val="0"/>
              <w:spacing w:before="0" w:after="283"/>
              <w:jc w:val="left"/>
              <w:rPr>
                <w:sz w:val="4"/>
                <w:szCs w:val="4"/>
              </w:rPr>
            </w:pPr>
            <w:r>
              <w:rPr>
                <w:sz w:val="4"/>
                <w:szCs w:val="4"/>
              </w:rPr>
            </w:r>
          </w:p>
        </w:tc>
        <w:tc>
          <w:tcPr>
            <w:tcW w:w="9376" w:type="dxa"/>
            <w:tcBorders/>
            <w:vAlign w:val="center"/>
          </w:tcPr>
          <w:p>
            <w:pPr>
              <w:pStyle w:val="TableContents"/>
              <w:bidi w:val="0"/>
              <w:spacing w:before="0" w:after="283"/>
              <w:jc w:val="left"/>
              <w:rPr>
                <w:sz w:val="4"/>
                <w:szCs w:val="4"/>
              </w:rPr>
            </w:pPr>
            <w:r>
              <w:rPr>
                <w:sz w:val="4"/>
                <w:szCs w:val="4"/>
              </w:rPr>
            </w:r>
          </w:p>
        </w:tc>
      </w:tr>
      <w:tr>
        <w:trPr/>
        <w:tc>
          <w:tcPr>
            <w:tcW w:w="82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5.02.</w:t>
            </w:r>
          </w:p>
        </w:tc>
        <w:tc>
          <w:tcPr>
            <w:tcW w:w="9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Departure of Directors or Certain Officers; Election of Directors; Appointment of Certain Officers; Compensatory Arrangements of Certain Officers.</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(d) On June 9, 2026, following Aldeyra Therapeutics, Inc.’s (the “Company”) 2026 annual meeting of stockholders (the “2026 Annual Meeting”), and based upon the recommendation of the Nominating/Corporate Governance Committee of the Board of Directors (the “Board”), the Board appointed Darlene Deptula-Hicks as a Class III director, with her initial term expiring at the Company’s 2029 annual meeting of stockholders. Further, the Board appointed Ms. Deptula-Hicks to serve as Chair of the audit committee of the Board (the “Audit Committee”). The Company has determined that Ms. Deptula-Hicks is independent under the rules and regulations of the Securities and Exchange Commission (“SEC”) and the listing standards of The Nasdaq Stock Market LLC (“Nasdaq”) applicable to audit committee members. In addition, the Board has determined that Ms. Deptula-Hicks qualifies as an audit committee financial expert within the meaning of SEC regulations and meets the financial sophistication requirement of Nasdaq. </w:t>
      </w:r>
    </w:p>
    <w:p>
      <w:pPr>
        <w:pStyle w:val="TextBody"/>
        <w:bidi w:val="0"/>
        <w:jc w:val="left"/>
        <w:rPr>
          <w:rFonts w:ascii="Times New Roman" w:hAnsi="Times New Roman"/>
          <w:color w:val="000000"/>
          <w:sz w:val="20"/>
        </w:rPr>
      </w:pPr>
      <w:r>
        <w:rPr>
          <w:rFonts w:ascii="Times New Roman" w:hAnsi="Times New Roman"/>
          <w:color w:val="000000"/>
          <w:sz w:val="20"/>
        </w:rPr>
        <w:t>Pursuant to the Company’s non-employee director compensation program, as a non-employee joining the Board, Ms. Deptula-Hicks was granted a non-statutory stock option to purchase 94,313 shares of the Company’s common stock on June 9, 2026 with an exercise price equal to the closing stock price of the Company’s common stock on The Nasdaq Capital Market on June 9, 2026. This option will vest ratably in annual installments over three years of service following the date of grant. Ms. Deptula-Hicks will also receive an annual fee of $40,000 for service as a director, and an annual fee of $7,500 for service as Chair of the Audit Committee. In addition, she will be eligible to receive, upon the conclusion of each annual meeting of stockholders, a non-statutory stock option to purchase approximately $130,000 of the Company’s common stock for her service as a director and a non-statutory stock option to purchase approximately $15,000 of the Company’s common stock for her service as Chair of the Audit Committee on that date with an exercise price equal to the fair market value of the Company’s common stock on the grant date. Such annual grant will vest in full on the one-year anniversary of the grant date. The Company’s non-employee director compensation program is described in further detail in the Company’s Proxy Statement for its 2026 Annual Meeting filed with the SEC on April 27, 2026 pursuant to Section 14(a) of the Securities Exchange Act of 1934, as amended (the “Proxy Statement”).</w:t>
      </w:r>
    </w:p>
    <w:p>
      <w:pPr>
        <w:pStyle w:val="TextBody"/>
        <w:bidi w:val="0"/>
        <w:jc w:val="left"/>
        <w:rPr>
          <w:rFonts w:ascii="Times New Roman" w:hAnsi="Times New Roman"/>
          <w:color w:val="000000"/>
          <w:sz w:val="20"/>
        </w:rPr>
      </w:pPr>
      <w:r>
        <w:rPr>
          <w:rFonts w:ascii="Times New Roman" w:hAnsi="Times New Roman"/>
          <w:color w:val="000000"/>
          <w:sz w:val="20"/>
        </w:rPr>
        <w:t>Ms. Deptula-Hicks and the Company will also enter into an indemnification agreement requiring the Company to indemnify her to the fullest extent permitted under Delaware law with respect to her service as a director. The indemnification agreement will be in the form entered into with the Company’s other directors and executive officers. This form is attached hereto as Exhibit 99.2.</w:t>
      </w:r>
    </w:p>
    <w:p>
      <w:pPr>
        <w:pStyle w:val="TextBody"/>
        <w:bidi w:val="0"/>
        <w:jc w:val="left"/>
        <w:rPr>
          <w:rFonts w:ascii="Times New Roman" w:hAnsi="Times New Roman"/>
          <w:color w:val="000000"/>
          <w:sz w:val="20"/>
        </w:rPr>
      </w:pPr>
      <w:r>
        <w:rPr>
          <w:rFonts w:ascii="Times New Roman" w:hAnsi="Times New Roman"/>
          <w:color w:val="000000"/>
          <w:sz w:val="20"/>
        </w:rPr>
        <w:t xml:space="preserve">There is no arrangement or understanding between Ms. Deptula-Hicks and any other person pursuant to which Ms. Deptula-Hicks was appointed as a director. </w:t>
      </w:r>
    </w:p>
    <w:tbl>
      <w:tblPr>
        <w:tblW w:w="5552" w:type="dxa"/>
        <w:jc w:val="left"/>
        <w:tblInd w:w="0" w:type="dxa"/>
        <w:tblLayout w:type="fixed"/>
        <w:tblCellMar>
          <w:top w:w="28" w:type="dxa"/>
          <w:left w:w="28" w:type="dxa"/>
          <w:bottom w:w="28" w:type="dxa"/>
          <w:right w:w="28" w:type="dxa"/>
        </w:tblCellMar>
      </w:tblPr>
      <w:tblGrid>
        <w:gridCol w:w="961"/>
        <w:gridCol w:w="4591"/>
      </w:tblGrid>
      <w:tr>
        <w:trPr/>
        <w:tc>
          <w:tcPr>
            <w:tcW w:w="961" w:type="dxa"/>
            <w:tcBorders/>
            <w:vAlign w:val="center"/>
          </w:tcPr>
          <w:p>
            <w:pPr>
              <w:pStyle w:val="TableContents"/>
              <w:bidi w:val="0"/>
              <w:spacing w:before="0" w:after="283"/>
              <w:jc w:val="left"/>
              <w:rPr>
                <w:sz w:val="4"/>
                <w:szCs w:val="4"/>
              </w:rPr>
            </w:pPr>
            <w:r>
              <w:rPr>
                <w:sz w:val="4"/>
                <w:szCs w:val="4"/>
              </w:rPr>
            </w:r>
          </w:p>
        </w:tc>
        <w:tc>
          <w:tcPr>
            <w:tcW w:w="459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5.07.</w:t>
            </w:r>
          </w:p>
        </w:tc>
        <w:tc>
          <w:tcPr>
            <w:tcW w:w="4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Submission of Matters to a Vote of Security Holders.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2026 Annual Meeting held on June 9, 2026, the following proposals were submitted to the stockholders of the Company: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493"/>
        <w:gridCol w:w="435"/>
        <w:gridCol w:w="109"/>
        <w:gridCol w:w="9168"/>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8" w:type="dxa"/>
            <w:tcBorders/>
            <w:vAlign w:val="center"/>
          </w:tcPr>
          <w:p>
            <w:pPr>
              <w:pStyle w:val="TableContents"/>
              <w:bidi w:val="0"/>
              <w:spacing w:before="0" w:after="283"/>
              <w:jc w:val="left"/>
              <w:rPr>
                <w:sz w:val="4"/>
                <w:szCs w:val="4"/>
              </w:rPr>
            </w:pPr>
            <w:r>
              <w:rPr>
                <w:sz w:val="4"/>
                <w:szCs w:val="4"/>
              </w:rPr>
            </w:r>
          </w:p>
        </w:tc>
      </w:tr>
      <w:tr>
        <w:trPr/>
        <w:tc>
          <w:tcPr>
            <w:tcW w:w="4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Proposal 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election of one director to serve as a Class III director until the Company’s 2029 annual meeting of stockholders or until his successor is duly elected and qualified or until earlier death, resignation or removal.</w:t>
            </w:r>
          </w:p>
        </w:tc>
      </w:tr>
      <w:tr>
        <w:trPr/>
        <w:tc>
          <w:tcPr>
            <w:tcW w:w="92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Proposal 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ratification of the appointment of BDO USA, P.C. as the Company’s independent registered public accounting firm for the fiscal year ending December 31, 2026.</w:t>
            </w:r>
          </w:p>
        </w:tc>
      </w:tr>
      <w:tr>
        <w:trPr/>
        <w:tc>
          <w:tcPr>
            <w:tcW w:w="92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Proposal 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approval, on a non-binding, advisory basis, of the compensation of the Company’s named executive officers.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more information about the foregoing proposals, see the Proxy Statement. Of the 60,321,068 shares of the Company’s common stock entitled to vote at the 2026 Annual Meeting, 44,271,484 shares, or approximately 73.4%, were represented at the meeting in person or by proxy, constituting a quorum. The number of votes cast for, against or withheld, as well as abstentions and broker non-votes, if applicable, in respect of each such proposal is set forth below: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Proposal 1: Election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stockholders elected the following director to serve as a Class III director until the 2029 annual meeting of stockholders or until his successor is duly elected and qualified or until earlier death, resignation or removal. The votes regarding the election of the directors were as follows: </w:t>
      </w:r>
    </w:p>
    <w:tbl>
      <w:tblPr>
        <w:tblW w:w="6391" w:type="dxa"/>
        <w:jc w:val="left"/>
        <w:tblInd w:w="0" w:type="dxa"/>
        <w:tblLayout w:type="fixed"/>
        <w:tblCellMar>
          <w:top w:w="28" w:type="dxa"/>
          <w:left w:w="28" w:type="dxa"/>
          <w:bottom w:w="28" w:type="dxa"/>
          <w:right w:w="28" w:type="dxa"/>
        </w:tblCellMar>
      </w:tblPr>
      <w:tblGrid>
        <w:gridCol w:w="2341"/>
        <w:gridCol w:w="109"/>
        <w:gridCol w:w="1036"/>
        <w:gridCol w:w="109"/>
        <w:gridCol w:w="1216"/>
        <w:gridCol w:w="109"/>
        <w:gridCol w:w="1471"/>
      </w:tblGrid>
      <w:tr>
        <w:trPr/>
        <w:tc>
          <w:tcPr>
            <w:tcW w:w="2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Director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For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Withheld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234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C. Brady, M.D., Ph.D.</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23,026,101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CCEEFF" w:val="clear"/>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color w:val="000000"/>
                <w:sz w:val="20"/>
              </w:rPr>
              <w:t xml:space="preserve">1,081,762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20,038,067 </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Proposal 2: Ratification of Appointment of BDO USA, P.C.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stockholders ratified the appointment of BDO USA, P.C. as the Company’s independent registered public accounting firm for the fiscal year ending December 31, 2026. The votes regarding this proposal were as follows: </w:t>
      </w:r>
    </w:p>
    <w:tbl>
      <w:tblPr>
        <w:tblW w:w="3806" w:type="dxa"/>
        <w:jc w:val="left"/>
        <w:tblInd w:w="0" w:type="dxa"/>
        <w:tblLayout w:type="fixed"/>
        <w:tblCellMar>
          <w:top w:w="28" w:type="dxa"/>
          <w:left w:w="28" w:type="dxa"/>
          <w:bottom w:w="28" w:type="dxa"/>
          <w:right w:w="28" w:type="dxa"/>
        </w:tblCellMar>
      </w:tblPr>
      <w:tblGrid>
        <w:gridCol w:w="1096"/>
        <w:gridCol w:w="109"/>
        <w:gridCol w:w="1111"/>
        <w:gridCol w:w="109"/>
        <w:gridCol w:w="1381"/>
      </w:tblGrid>
      <w:tr>
        <w:trPr/>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0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Votes</w:t>
              <w:br/>
              <w:t>For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Votes Against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Votes Abstaining</w:t>
            </w:r>
          </w:p>
        </w:tc>
      </w:tr>
      <w:tr>
        <w:trPr/>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43,693,772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321,501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130,657 </w:t>
            </w:r>
          </w:p>
        </w:tc>
      </w:tr>
    </w:tbl>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Proposal 3: Advisory Vote on Executive Compensation.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stockholders approved, on a non-binding, advisory basis, the compensation of the Company’s named executive officers as described in the Proxy Statement. The votes regarding this proposal were as follows: </w:t>
      </w:r>
    </w:p>
    <w:tbl>
      <w:tblPr>
        <w:tblW w:w="5341" w:type="dxa"/>
        <w:jc w:val="left"/>
        <w:tblInd w:w="0" w:type="dxa"/>
        <w:tblLayout w:type="fixed"/>
        <w:tblCellMar>
          <w:top w:w="28" w:type="dxa"/>
          <w:left w:w="28" w:type="dxa"/>
          <w:bottom w:w="28" w:type="dxa"/>
          <w:right w:w="28" w:type="dxa"/>
        </w:tblCellMar>
      </w:tblPr>
      <w:tblGrid>
        <w:gridCol w:w="1096"/>
        <w:gridCol w:w="109"/>
        <w:gridCol w:w="1111"/>
        <w:gridCol w:w="109"/>
        <w:gridCol w:w="1336"/>
        <w:gridCol w:w="109"/>
        <w:gridCol w:w="1471"/>
      </w:tblGrid>
      <w:tr>
        <w:trPr/>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0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Votes</w:t>
              <w:br/>
              <w:t>For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Votes Against</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Votes Abstaining</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Broker Non-Votes</w:t>
            </w:r>
          </w:p>
        </w:tc>
      </w:tr>
      <w:tr>
        <w:trPr/>
        <w:tc>
          <w:tcPr>
            <w:tcW w:w="1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19,477,504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4,543,221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87,138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20,038,067</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317" w:type="dxa"/>
        <w:jc w:val="left"/>
        <w:tblInd w:w="0" w:type="dxa"/>
        <w:tblLayout w:type="fixed"/>
        <w:tblCellMar>
          <w:top w:w="28" w:type="dxa"/>
          <w:left w:w="28" w:type="dxa"/>
          <w:bottom w:w="28" w:type="dxa"/>
          <w:right w:w="28" w:type="dxa"/>
        </w:tblCellMar>
      </w:tblPr>
      <w:tblGrid>
        <w:gridCol w:w="961"/>
        <w:gridCol w:w="2356"/>
      </w:tblGrid>
      <w:tr>
        <w:trPr/>
        <w:tc>
          <w:tcPr>
            <w:tcW w:w="96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Regulation FD Disclosure.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9, 2026, the Company issued a press release (the “Press Release”) to announce the appointment of Ms. Deptula-Hicks to the Board. A copy of the Press Release is furnished herewith as Exhibit 99.1 to this Current Report on Form 8-K and is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854"/>
        <w:gridCol w:w="109"/>
        <w:gridCol w:w="9242"/>
      </w:tblGrid>
      <w:tr>
        <w:trPr/>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2" w:type="dxa"/>
            <w:tcBorders/>
            <w:vAlign w:val="center"/>
          </w:tcPr>
          <w:p>
            <w:pPr>
              <w:pStyle w:val="TableContents"/>
              <w:bidi w:val="0"/>
              <w:spacing w:before="0" w:after="283"/>
              <w:jc w:val="left"/>
              <w:rPr>
                <w:sz w:val="4"/>
                <w:szCs w:val="4"/>
              </w:rPr>
            </w:pPr>
            <w:r>
              <w:rPr>
                <w:sz w:val="4"/>
                <w:szCs w:val="4"/>
              </w:rPr>
            </w:r>
          </w:p>
        </w:tc>
      </w:tr>
      <w:tr>
        <w:trPr/>
        <w:tc>
          <w:tcPr>
            <w:tcW w:w="854"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42"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5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2"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aldx-ex99_1.htm">
              <w:r>
                <w:rPr>
                  <w:rStyle w:val="InternetLink"/>
                  <w:rFonts w:ascii="Times New Roman" w:hAnsi="Times New Roman"/>
                  <w:color w:val="0000FF"/>
                  <w:sz w:val="20"/>
                  <w:u w:val="single"/>
                </w:rPr>
                <w:t>Aldeyra Therapeutics, Inc. Press Release dated June 9, 2026</w:t>
              </w:r>
            </w:hyperlink>
          </w:p>
        </w:tc>
      </w:tr>
      <w:tr>
        <w:trPr/>
        <w:tc>
          <w:tcPr>
            <w:tcW w:w="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EE"/>
                  <w:sz w:val="20"/>
                  <w:u w:val="single"/>
                </w:rPr>
                <w:t>Form of Indemnification Agreement between Aldeyra Therapeutics, Inc. and each of its directors and executive officers (incorporated by reference to Exhibit 10.1 to Amendment No. 2 to the Aldeyra Therapeutics, Inc.’s Registration Statement on Form S-1 (SEC File No. 333-193204) filed with the SEC on March 17, 2014).</w:t>
              </w:r>
            </w:hyperlink>
          </w:p>
        </w:tc>
      </w:tr>
      <w:tr>
        <w:trPr/>
        <w:tc>
          <w:tcPr>
            <w:tcW w:w="85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2"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rFonts w:ascii="Times New Roman" w:hAnsi="Times New Roman"/>
          <w:color w:val="000000"/>
          <w:sz w:val="20"/>
        </w:rPr>
      </w:pPr>
      <w:r>
        <w:rPr>
          <w:rFonts w:ascii="Times New Roman" w:hAnsi="Times New Roman"/>
          <w:color w:val="000000"/>
          <w:sz w:val="20"/>
        </w:rPr>
        <w:t>Dated June 9, 2026</w:t>
      </w:r>
    </w:p>
    <w:tbl>
      <w:tblPr>
        <w:tblW w:w="3532" w:type="dxa"/>
        <w:jc w:val="left"/>
        <w:tblInd w:w="0" w:type="dxa"/>
        <w:tblLayout w:type="fixed"/>
        <w:tblCellMar>
          <w:top w:w="28" w:type="dxa"/>
          <w:left w:w="28" w:type="dxa"/>
          <w:bottom w:w="28" w:type="dxa"/>
          <w:right w:w="28" w:type="dxa"/>
        </w:tblCellMar>
      </w:tblPr>
      <w:tblGrid>
        <w:gridCol w:w="421"/>
        <w:gridCol w:w="676"/>
        <w:gridCol w:w="2281"/>
        <w:gridCol w:w="154"/>
      </w:tblGrid>
      <w:tr>
        <w:trPr/>
        <w:tc>
          <w:tcPr>
            <w:tcW w:w="42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ALDEYRA THERAPEUTICS, INC.</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957" w:type="dxa"/>
            <w:gridSpan w:val="2"/>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Todd C. Brady</w:t>
            </w:r>
          </w:p>
        </w:tc>
        <w:tc>
          <w:tcPr>
            <w:tcW w:w="15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Todd C. Brady M.D., Ph.D.</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Title: </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b/>
          <w:color w:val="000000"/>
          <w:sz w:val="24"/>
        </w:rPr>
      </w:pPr>
      <w:bookmarkStart w:id="2" w:name="aldx-ex99_1.htm"/>
      <w:bookmarkStart w:id="3" w:name="ksaldxex99_1"/>
      <w:bookmarkEnd w:id="2"/>
      <w:bookmarkEnd w:id="3"/>
      <w:r>
        <w:rPr>
          <w:rFonts w:ascii="sans-serif" w:hAnsi="sans-serif"/>
          <w:b/>
          <w:color w:val="000000"/>
          <w:sz w:val="24"/>
        </w:rPr>
        <w:t>Exhibit 99.1</w:t>
      </w:r>
      <w:r>
        <w:br w:type="page"/>
      </w:r>
    </w:p>
    <w:p>
      <w:pPr>
        <w:pStyle w:val="TextBody"/>
        <w:bidi w:val="0"/>
        <w:spacing w:before="0" w:after="160"/>
        <w:jc w:val="left"/>
        <w:rPr/>
      </w:pPr>
      <w:r>
        <w:rPr/>
        <w:drawing>
          <wp:inline distT="0" distB="0" distL="0" distR="0">
            <wp:extent cx="1562100"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562100" cy="781050"/>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4"/>
        </w:rPr>
        <w:t>Aldeyra Therapeutics Appoints Darlene Deptula-Hicks to Board of Directors</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120"/>
        <w:jc w:val="left"/>
        <w:rPr>
          <w:rFonts w:ascii="Times New Roman" w:hAnsi="Times New Roman"/>
          <w:sz w:val="20"/>
        </w:rPr>
      </w:pPr>
      <w:r>
        <w:rPr>
          <w:rFonts w:ascii="sans-serif" w:hAnsi="sans-serif"/>
          <w:b/>
          <w:color w:val="000000"/>
          <w:sz w:val="24"/>
        </w:rPr>
        <w:t xml:space="preserve">Lexington, Mass., June 9, 2026 </w:t>
      </w:r>
      <w:r>
        <w:rPr>
          <w:rFonts w:ascii="Times New Roman" w:hAnsi="Times New Roman"/>
          <w:color w:val="000000"/>
          <w:sz w:val="20"/>
        </w:rPr>
        <w:t xml:space="preserve">– </w:t>
      </w:r>
      <w:r>
        <w:rPr>
          <w:rFonts w:ascii="sans-serif" w:hAnsi="sans-serif"/>
          <w:color w:val="000000"/>
          <w:sz w:val="24"/>
        </w:rPr>
        <w:t>Aldeyra Therapeutics, Inc. (Nasdaq: ALDX) (Aldeyra), a biotechnology company devoted to discovering and developing innovative therapies designed to treat immune-mediated diseases, today announced the appointment of Darlene Deptula-Hicks to Aldeyra’s board of directors (the Board).</w:t>
      </w:r>
    </w:p>
    <w:p>
      <w:pPr>
        <w:pStyle w:val="TextBody"/>
        <w:bidi w:val="0"/>
        <w:spacing w:before="0" w:after="160"/>
        <w:jc w:val="left"/>
        <w:rPr>
          <w:color w:val="000000"/>
        </w:rPr>
      </w:pPr>
      <w:r>
        <w:rPr>
          <w:color w:val="000000"/>
        </w:rPr>
        <w:t>“</w:t>
      </w:r>
      <w:r>
        <w:rPr>
          <w:rFonts w:ascii="sans-serif" w:hAnsi="sans-serif"/>
          <w:color w:val="000000"/>
          <w:sz w:val="24"/>
        </w:rPr>
        <w:t>Ms. Deptula-Hicks brings decades of experience working with both publicly traded and venture-backed biotechnology companies,” stated Richard H. Douglas, Ph.D., Chairman of the Board. “We look forward to leveraging her expertise as Aldeyra continues to progress towards potential commercialization of therapies that address an unmet medical need.”</w:t>
      </w:r>
    </w:p>
    <w:p>
      <w:pPr>
        <w:pStyle w:val="TextBody"/>
        <w:bidi w:val="0"/>
        <w:spacing w:before="0" w:after="160"/>
        <w:jc w:val="left"/>
        <w:rPr>
          <w:rFonts w:ascii="sans-serif" w:hAnsi="sans-serif"/>
          <w:color w:val="000000"/>
          <w:sz w:val="24"/>
        </w:rPr>
      </w:pPr>
      <w:r>
        <w:rPr>
          <w:rFonts w:ascii="sans-serif" w:hAnsi="sans-serif"/>
          <w:color w:val="000000"/>
          <w:sz w:val="24"/>
        </w:rPr>
        <w:t>Ms. Deptula-Hicks is a senior biotechnology executive with over 30 years of experience across public and private life science companies, spanning therapeutics, diagnostics, medical devices, and emerging healthcare technologies. She has held senior executive, chief financial officer, board roles, and has extensive experience supporting companies through initial public offerings, major capital raises, strategic partnerships, and M&amp;A transactions. Ms. Deptula-Hicks currently serves as the acting Chief Financial Officer of Normunity Inc., a clinical-stage biotech company focused on novel therapies to treat cancer. Previously, she served as Chief Financial Officer of F-star Therapeutics, Inc. Ms. Deptula-Hicks holds an M.B.A. from Rivier University and a B.S. in Accounting from Southern New Hampshire University.</w:t>
      </w:r>
    </w:p>
    <w:p>
      <w:pPr>
        <w:pStyle w:val="TextBody"/>
        <w:bidi w:val="0"/>
        <w:spacing w:before="0" w:after="120"/>
        <w:jc w:val="left"/>
        <w:rPr/>
      </w:pPr>
      <w:r>
        <w:rPr>
          <w:color w:val="000000"/>
        </w:rPr>
        <w:t>“</w:t>
      </w:r>
      <w:r>
        <w:rPr>
          <w:rFonts w:ascii="sans-serif" w:hAnsi="sans-serif"/>
          <w:color w:val="000000"/>
          <w:sz w:val="24"/>
        </w:rPr>
        <w:t>I look forward to supporting Aldeyra’ s Board and partnering with the leadership team to drive sustainable long-term growth,” Ms. Deptula-Hicks stated.</w:t>
      </w:r>
      <w:r>
        <w:rPr>
          <w:rFonts w:ascii="Times New Roman" w:hAnsi="Times New Roman"/>
          <w:color w:val="000000"/>
          <w:sz w:val="20"/>
        </w:rPr>
        <w:t xml:space="preserve"> </w:t>
      </w:r>
    </w:p>
    <w:p>
      <w:pPr>
        <w:pStyle w:val="TextBody"/>
        <w:bidi w:val="0"/>
        <w:spacing w:before="0" w:after="120"/>
        <w:jc w:val="left"/>
        <w:rPr/>
      </w:pPr>
      <w:r>
        <w:rPr/>
        <w:t> </w:t>
      </w:r>
    </w:p>
    <w:p>
      <w:pPr>
        <w:pStyle w:val="Heading2"/>
        <w:bidi w:val="0"/>
        <w:jc w:val="left"/>
        <w:rPr>
          <w:rFonts w:ascii="sans-serif" w:hAnsi="sans-serif"/>
          <w:color w:val="000000"/>
          <w:sz w:val="24"/>
        </w:rPr>
      </w:pPr>
      <w:r>
        <w:rPr>
          <w:rFonts w:ascii="sans-serif" w:hAnsi="sans-serif"/>
          <w:color w:val="000000"/>
          <w:sz w:val="24"/>
        </w:rPr>
        <w:t>About Aldeyra</w:t>
      </w:r>
    </w:p>
    <w:p>
      <w:pPr>
        <w:pStyle w:val="TextBody"/>
        <w:bidi w:val="0"/>
        <w:spacing w:before="0" w:after="160"/>
        <w:jc w:val="left"/>
        <w:rPr>
          <w:rFonts w:ascii="Times New Roman" w:hAnsi="Times New Roman"/>
          <w:sz w:val="20"/>
        </w:rPr>
      </w:pPr>
      <w:r>
        <w:rPr>
          <w:rFonts w:ascii="sans-serif" w:hAnsi="sans-serif"/>
          <w:color w:val="000000"/>
          <w:sz w:val="24"/>
        </w:rPr>
        <w:t>Aldeyra Therapeutics is a biotechnology company devoted to discovering innovative therapies designed to treat immune-mediated diseases. Our approach is to develop pharmaceuticals that modulate protein systems, instead of directly inhibiting or activating single protein targets, with the goal of optimizing multiple pathways at once while minimizing toxicity. Our product candidates include RASP (reactive aldehyde species) modulators ADX-248, ADX-246, and chemically related molecules for the potential treatment of systemic and retinal immune-mediated diseases. Our late-stage product candidates are reproxalap, a RASP modulator for the potential treatment of dry eye disease and allergic conjunctivitis, and ADX-2191, a novel formulation of intravitreal methotrexate for the potential treatment of primary vitreoretinal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b/>
          <w:color w:val="000000"/>
          <w:sz w:val="24"/>
        </w:rPr>
      </w:pPr>
      <w:r>
        <w:rPr>
          <w:rFonts w:ascii="sans-serif" w:hAnsi="sans-serif"/>
          <w:b/>
          <w:color w:val="000000"/>
          <w:sz w:val="24"/>
        </w:rPr>
        <w:t>Exhibit 99.1</w:t>
      </w:r>
    </w:p>
    <w:p>
      <w:pPr>
        <w:pStyle w:val="TextBody"/>
        <w:bidi w:val="0"/>
        <w:jc w:val="left"/>
        <w:rPr/>
      </w:pPr>
      <w:r>
        <w:rPr/>
        <w:t> </w:t>
      </w:r>
    </w:p>
    <w:p>
      <w:pPr>
        <w:pStyle w:val="TextBody"/>
        <w:bidi w:val="0"/>
        <w:spacing w:before="0" w:after="160"/>
        <w:jc w:val="left"/>
        <w:rPr>
          <w:rFonts w:ascii="sans-serif" w:hAnsi="sans-serif"/>
          <w:color w:val="000000"/>
          <w:sz w:val="24"/>
        </w:rPr>
      </w:pPr>
      <w:r>
        <w:rPr>
          <w:rFonts w:ascii="sans-serif" w:hAnsi="sans-serif"/>
          <w:color w:val="000000"/>
          <w:sz w:val="24"/>
        </w:rPr>
        <w:t>lymphoma and retinitis pigmentosa.</w:t>
      </w:r>
    </w:p>
    <w:p>
      <w:pPr>
        <w:pStyle w:val="TextBody"/>
        <w:bidi w:val="0"/>
        <w:spacing w:before="0" w:after="160"/>
        <w:jc w:val="left"/>
        <w:rPr/>
      </w:pPr>
      <w:r>
        <w:rPr/>
        <w:t> </w:t>
      </w:r>
    </w:p>
    <w:p>
      <w:pPr>
        <w:pStyle w:val="Heading1"/>
        <w:bidi w:val="0"/>
        <w:spacing w:before="240" w:after="40"/>
        <w:jc w:val="left"/>
        <w:rPr>
          <w:rFonts w:ascii="sans-serif" w:hAnsi="sans-serif"/>
          <w:color w:val="000000"/>
          <w:sz w:val="24"/>
        </w:rPr>
      </w:pPr>
      <w:r>
        <w:rPr>
          <w:rFonts w:ascii="sans-serif" w:hAnsi="sans-serif"/>
          <w:color w:val="000000"/>
          <w:sz w:val="24"/>
        </w:rPr>
        <w:t>Safe Harbor Statement</w:t>
      </w:r>
    </w:p>
    <w:p>
      <w:pPr>
        <w:pStyle w:val="TextBody"/>
        <w:bidi w:val="0"/>
        <w:spacing w:before="0" w:after="160"/>
        <w:jc w:val="left"/>
        <w:rPr>
          <w:rFonts w:ascii="Times New Roman" w:hAnsi="Times New Roman"/>
          <w:sz w:val="20"/>
        </w:rPr>
      </w:pPr>
      <w:r>
        <w:rPr>
          <w:rFonts w:ascii="sans-serif" w:hAnsi="sans-serif"/>
          <w:color w:val="000000"/>
          <w:sz w:val="24"/>
        </w:rPr>
        <w:t>This release contains forward-looking statements within the meaning of the Private Securities Litigation Reform Act of 1995, including, but not limited to, statements regarding Aldeyra’s future expectations, plans, and prospects, including without limitation statements regarding: the potential commercialization of the company’s therapies; the goals, opportunity, and potential for reproxalap. Aldeyra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“may,” “might,” “will,” “objective,” “intend,” “should,” "could," “can,” “would,” “expect,” “believe,” “anticipate,” “project,” “on track,” “scheduled,” “target,” “design,” “estimate,” “predict,” “contemplates,” “likely,” “potential,” “continue,” “ongoing,” “aim,” “plan,” or the negative of these terms, and similar expressions intended to identify forward-looking statements. Such forward-looking statements are based upon current expectations that involve risks, changes in circumstances, assumptions, and uncertainties. Aldeyra is at an early stage of development and may not ever have any products that generate significant revenue. All of Aldeyra's development timelines may be subject to adjustment depending on recruitment rate, regulatory review, preclinical and clinical results, funding, and other factors that could delay the initiation, enrollment, or completion of clinical trials. Important factors that could cause actual results to differ materially from those reflected in Aldeyra's forward-looking statements include, among others, the timing of enrollment, commencement and completion of Aldeyra's clinical trials, the timing and success of preclinical studies and clinical trials conducted by Aldeyra and its development partners; delay in or failure to obtain regulatory approval of Aldeyra's product candidates, including as a result of the FDA not accepting Aldeyra’s regulatory filings, issuing a complete response letter, or requiring additional clinical trials or data prior to review or approval of such filings or in connection with resubmissions of such filings; the ability to maintain regulatory approval of Aldeyra's product candidates, and the labeling for any approved products; the risk that prior results, such as signals of safety, activity, or durability of effect, observed from preclinical or clinical trials, will not be replicated or will not continue in ongoing or future studies or clinical trials involving Aldeyra's product candidates in clinical trials focused on the same or different indications; the scope, progress, expansion, and costs of developing and commercializing Aldeyra's product candidates; uncertainty as to Aldeyra’s ability to commercialize (alone or with others) and obtain reimbursement for Aldeyra's product candidates following regulatory approval, if any; the size and growth of the potential markets and pricing for Aldeyra's product candidates and the ability to serve those markets; Aldeyra's expectations regarding Aldeyra's expenses and future revenue, the timing of future revenue, the sufficiency or use of Aldeyra's cash resources and needs for additional financing; the rate and degree of market acceptance of any of Aldeyra's product candidates; Aldeyra's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b/>
          <w:color w:val="000000"/>
          <w:sz w:val="24"/>
        </w:rPr>
      </w:pPr>
      <w:r>
        <w:rPr>
          <w:rFonts w:ascii="sans-serif" w:hAnsi="sans-serif"/>
          <w:b/>
          <w:color w:val="000000"/>
          <w:sz w:val="24"/>
        </w:rPr>
        <w:t>Exhibit 99.1</w:t>
      </w:r>
    </w:p>
    <w:p>
      <w:pPr>
        <w:pStyle w:val="TextBody"/>
        <w:bidi w:val="0"/>
        <w:jc w:val="left"/>
        <w:rPr/>
      </w:pPr>
      <w:r>
        <w:rPr/>
        <w:t> </w:t>
      </w:r>
    </w:p>
    <w:p>
      <w:pPr>
        <w:pStyle w:val="TextBody"/>
        <w:bidi w:val="0"/>
        <w:spacing w:before="0" w:after="160"/>
        <w:jc w:val="left"/>
        <w:rPr>
          <w:rFonts w:ascii="sans-serif" w:hAnsi="sans-serif"/>
          <w:color w:val="000000"/>
          <w:sz w:val="24"/>
        </w:rPr>
      </w:pPr>
      <w:r>
        <w:rPr>
          <w:rFonts w:ascii="sans-serif" w:hAnsi="sans-serif"/>
          <w:color w:val="000000"/>
          <w:sz w:val="24"/>
        </w:rPr>
        <w:t>expectations regarding competition; Aldeyra's anticipated growth strategies; Aldeyra's ability to attract or retain key personnel; Aldeyra’s commercialization, marketing and manufacturing capabilities and strategy; Aldeyra's ability to establish and maintain development partnerships; Aldeyra’s ability to successfully integrate acquisitions into its business; Aldeyra's expectations regarding federal, state, and foreign regulatory requirements; political, economic, legal, social, and health risks, public health measures, and war or other military actions, that may affect Aldeyra’s business or the global economy; regulatory developments in the United States and foreign countries; Aldeyra's ability to obtain and maintain intellectual property protection for its product candidates; the anticipated trends and challenges in Aldeyra's business and the market in which it operates; and other factors that are described in the “Risk Factors” and “Management's Discussion and Analysis of Financial Condition and Results of Operations” sections of Aldeyra's Annual Report on Form 10-K for the year ended December 31, 2025 and Aldeyra’s Quarterly Report on Form 10-Q for the quarter ended March 31, 2026, which are on file with the Securities and Exchange Commission (SEC) and available on the SEC website at https://www.sec.gov/. In addition to the risks described above and in Aldeyra's other filings with the SEC, other unknown or unpredictable factors also could affect Aldeyra's results. No forward-looking statements can be guaranteed and actual results may differ materially from such statements. The information in this release is provided only as of the date of this release, and Aldeyra undertakes no obligation to update any forward-looking statements contained in this release on account of new information, future events, or otherwise, except as required by law.</w:t>
      </w:r>
    </w:p>
    <w:p>
      <w:pPr>
        <w:pStyle w:val="TextBody"/>
        <w:bidi w:val="0"/>
        <w:spacing w:before="0" w:after="160"/>
        <w:jc w:val="left"/>
        <w:rPr/>
      </w:pPr>
      <w:r>
        <w:rPr/>
        <w:t> </w:t>
      </w:r>
    </w:p>
    <w:p>
      <w:pPr>
        <w:pStyle w:val="TextBody"/>
        <w:bidi w:val="0"/>
        <w:spacing w:before="0" w:after="160"/>
        <w:jc w:val="left"/>
        <w:rPr>
          <w:rFonts w:ascii="sans-serif" w:hAnsi="sans-serif"/>
          <w:b/>
          <w:color w:val="000000"/>
          <w:sz w:val="24"/>
        </w:rPr>
      </w:pPr>
      <w:r>
        <w:rPr>
          <w:rFonts w:ascii="sans-serif" w:hAnsi="sans-serif"/>
          <w:b/>
          <w:color w:val="000000"/>
          <w:sz w:val="24"/>
        </w:rPr>
        <w:t>Investor &amp; Media Contact</w:t>
      </w:r>
    </w:p>
    <w:p>
      <w:pPr>
        <w:pStyle w:val="TextBody"/>
        <w:bidi w:val="0"/>
        <w:spacing w:before="0" w:after="160"/>
        <w:jc w:val="left"/>
        <w:rPr>
          <w:rFonts w:ascii="sans-serif" w:hAnsi="sans-serif"/>
          <w:color w:val="000000"/>
          <w:sz w:val="24"/>
        </w:rPr>
      </w:pPr>
      <w:r>
        <w:rPr>
          <w:rFonts w:ascii="sans-serif" w:hAnsi="sans-serif"/>
          <w:color w:val="000000"/>
          <w:sz w:val="24"/>
        </w:rPr>
        <w:t>Laura Nichols</w:t>
      </w:r>
    </w:p>
    <w:p>
      <w:pPr>
        <w:pStyle w:val="TextBody"/>
        <w:bidi w:val="0"/>
        <w:spacing w:before="0" w:after="160"/>
        <w:jc w:val="left"/>
        <w:rPr>
          <w:rFonts w:ascii="sans-serif" w:hAnsi="sans-serif"/>
          <w:color w:val="000000"/>
          <w:sz w:val="24"/>
        </w:rPr>
      </w:pPr>
      <w:r>
        <w:rPr>
          <w:rFonts w:ascii="sans-serif" w:hAnsi="sans-serif"/>
          <w:color w:val="000000"/>
          <w:sz w:val="24"/>
        </w:rPr>
        <w:t>(781) 257-3060</w:t>
      </w:r>
    </w:p>
    <w:p>
      <w:pPr>
        <w:pStyle w:val="TextBody"/>
        <w:bidi w:val="0"/>
        <w:spacing w:before="0" w:after="160"/>
        <w:jc w:val="left"/>
        <w:rPr>
          <w:rFonts w:ascii="sans-serif" w:hAnsi="sans-serif"/>
          <w:color w:val="000000"/>
          <w:sz w:val="24"/>
        </w:rPr>
      </w:pPr>
      <w:r>
        <w:rPr>
          <w:rFonts w:ascii="sans-serif" w:hAnsi="sans-serif"/>
          <w:color w:val="000000"/>
          <w:sz w:val="24"/>
        </w:rPr>
        <w:t>investorrelations@aldeyra.com</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41235/000119312514102690/d615506dex101.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2527</Words>
  <Characters>14723</Characters>
  <CharactersWithSpaces>17173</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